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附件2</w:t>
      </w:r>
    </w:p>
    <w:p>
      <w:pPr>
        <w:spacing w:line="560" w:lineRule="exact"/>
        <w:jc w:val="center"/>
        <w:rPr>
          <w:rFonts w:eastAsia="黑体"/>
          <w:color w:val="000000" w:themeColor="text1"/>
          <w:sz w:val="44"/>
          <w:szCs w:val="44"/>
          <w14:textFill>
            <w14:solidFill>
              <w14:schemeClr w14:val="tx1"/>
            </w14:solidFill>
          </w14:textFill>
        </w:rPr>
      </w:pPr>
    </w:p>
    <w:p>
      <w:pPr>
        <w:spacing w:line="0" w:lineRule="atLeas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202</w:t>
      </w:r>
      <w:r>
        <w:rPr>
          <w:rFonts w:hint="eastAsia" w:eastAsia="方正小标宋简体"/>
          <w:color w:val="000000" w:themeColor="text1"/>
          <w:sz w:val="44"/>
          <w:szCs w:val="44"/>
          <w14:textFill>
            <w14:solidFill>
              <w14:schemeClr w14:val="tx1"/>
            </w14:solidFill>
          </w14:textFill>
        </w:rPr>
        <w:t>2</w:t>
      </w:r>
      <w:r>
        <w:rPr>
          <w:rFonts w:eastAsia="方正小标宋简体"/>
          <w:color w:val="000000" w:themeColor="text1"/>
          <w:sz w:val="44"/>
          <w:szCs w:val="44"/>
          <w14:textFill>
            <w14:solidFill>
              <w14:schemeClr w14:val="tx1"/>
            </w14:solidFill>
          </w14:textFill>
        </w:rPr>
        <w:t>年聊城市</w:t>
      </w:r>
      <w:r>
        <w:rPr>
          <w:rFonts w:hint="eastAsia" w:eastAsia="方正小标宋简体"/>
          <w:color w:val="000000" w:themeColor="text1"/>
          <w:sz w:val="44"/>
          <w:szCs w:val="44"/>
          <w14:textFill>
            <w14:solidFill>
              <w14:schemeClr w14:val="tx1"/>
            </w14:solidFill>
          </w14:textFill>
        </w:rPr>
        <w:t>疾病预防控制中心</w:t>
      </w:r>
    </w:p>
    <w:p>
      <w:pPr>
        <w:spacing w:line="0" w:lineRule="atLeas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公开招聘初级岗位工作人员应聘须知</w:t>
      </w:r>
    </w:p>
    <w:p>
      <w:pPr>
        <w:snapToGrid w:val="0"/>
        <w:spacing w:line="600" w:lineRule="exact"/>
        <w:ind w:firstLine="612" w:firstLineChars="196"/>
        <w:rPr>
          <w:rFonts w:ascii="Calibri" w:hAnsi="Calibri" w:eastAsia="楷体_GB2312" w:cs="Times New Roman"/>
          <w:b/>
          <w:color w:val="000000" w:themeColor="text1"/>
          <w:szCs w:val="32"/>
          <w14:textFill>
            <w14:solidFill>
              <w14:schemeClr w14:val="tx1"/>
            </w14:solidFill>
          </w14:textFill>
        </w:rPr>
      </w:pPr>
      <w:r>
        <w:rPr>
          <w:b/>
          <w:color w:val="000000" w:themeColor="text1"/>
          <w:szCs w:val="32"/>
          <w14:textFill>
            <w14:solidFill>
              <w14:schemeClr w14:val="tx1"/>
            </w14:solidFill>
          </w14:textFill>
        </w:rPr>
        <w:t xml:space="preserve">   </w:t>
      </w:r>
    </w:p>
    <w:p>
      <w:pPr>
        <w:spacing w:line="560" w:lineRule="exact"/>
        <w:ind w:firstLine="624" w:firstLineChars="200"/>
        <w:rPr>
          <w:rFonts w:ascii="Times New Roman" w:hAnsi="Times New Roman" w:eastAsia="楷体_GB2312" w:cs="Times New Roman"/>
          <w:b/>
          <w:bCs/>
          <w:color w:val="000000" w:themeColor="text1"/>
          <w:szCs w:val="32"/>
          <w14:textFill>
            <w14:solidFill>
              <w14:schemeClr w14:val="tx1"/>
            </w14:solidFill>
          </w14:textFill>
        </w:rPr>
      </w:pPr>
      <w:r>
        <w:rPr>
          <w:rFonts w:hint="eastAsia" w:ascii="Times New Roman" w:hAnsi="Times New Roman" w:eastAsia="楷体_GB2312" w:cs="Times New Roman"/>
          <w:b/>
          <w:bCs/>
          <w:color w:val="000000" w:themeColor="text1"/>
          <w:szCs w:val="32"/>
          <w14:textFill>
            <w14:solidFill>
              <w14:schemeClr w14:val="tx1"/>
            </w14:solidFill>
          </w14:textFill>
        </w:rPr>
        <w:t>1、</w:t>
      </w:r>
      <w:r>
        <w:rPr>
          <w:rFonts w:ascii="Times New Roman" w:hAnsi="Times New Roman" w:eastAsia="楷体_GB2312" w:cs="Times New Roman"/>
          <w:b/>
          <w:bCs/>
          <w:color w:val="000000" w:themeColor="text1"/>
          <w:szCs w:val="32"/>
          <w14:textFill>
            <w14:solidFill>
              <w14:schemeClr w14:val="tx1"/>
            </w14:solidFill>
          </w14:textFill>
        </w:rPr>
        <w:t>非普通高等学历教育的其他教育形式的毕业生是否可以应聘？</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国内非普通高等学历教育的其他教育形式（自学考试、成人教育、网络教育、夜大、电大等）毕业生取得毕业证（学位证）后，符合岗位要求资格条件的，均可应聘。</w:t>
      </w:r>
    </w:p>
    <w:p>
      <w:pPr>
        <w:spacing w:line="560" w:lineRule="exact"/>
        <w:ind w:firstLine="624" w:firstLineChars="200"/>
        <w:rPr>
          <w:rFonts w:ascii="Times New Roman" w:hAnsi="Times New Roman" w:eastAsia="仿宋" w:cs="Times New Roman"/>
          <w:color w:val="000000" w:themeColor="text1"/>
          <w:szCs w:val="32"/>
          <w14:textFill>
            <w14:solidFill>
              <w14:schemeClr w14:val="tx1"/>
            </w14:solidFill>
          </w14:textFill>
        </w:rPr>
      </w:pPr>
      <w:r>
        <w:rPr>
          <w:rFonts w:hint="eastAsia" w:ascii="Calibri" w:hAnsi="Calibri" w:eastAsia="楷体_GB2312" w:cs="Times New Roman"/>
          <w:b/>
          <w:bCs/>
          <w:color w:val="000000" w:themeColor="text1"/>
          <w:szCs w:val="32"/>
          <w14:textFill>
            <w14:solidFill>
              <w14:schemeClr w14:val="tx1"/>
            </w14:solidFill>
          </w14:textFill>
        </w:rPr>
        <w:t>2</w:t>
      </w:r>
      <w:r>
        <w:rPr>
          <w:rFonts w:hint="eastAsia" w:eastAsia="楷体_GB2312" w:cs="Times New Roman"/>
          <w:b/>
          <w:bCs/>
          <w:color w:val="000000" w:themeColor="text1"/>
          <w:szCs w:val="32"/>
          <w14:textFill>
            <w14:solidFill>
              <w14:schemeClr w14:val="tx1"/>
            </w14:solidFill>
          </w14:textFill>
        </w:rPr>
        <w:t>、</w:t>
      </w:r>
      <w:r>
        <w:rPr>
          <w:rFonts w:ascii="Times New Roman" w:hAnsi="Times New Roman" w:eastAsia="楷体_GB2312" w:cs="Times New Roman"/>
          <w:b/>
          <w:bCs/>
          <w:color w:val="000000" w:themeColor="text1"/>
          <w:szCs w:val="32"/>
          <w14:textFill>
            <w14:solidFill>
              <w14:schemeClr w14:val="tx1"/>
            </w14:solidFill>
          </w14:textFill>
        </w:rPr>
        <w:t>如何理解“在读的非应届毕业生”不得应聘？</w:t>
      </w:r>
    </w:p>
    <w:p>
      <w:pPr>
        <w:spacing w:line="560" w:lineRule="exact"/>
        <w:ind w:firstLine="468" w:firstLineChars="15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“在读的非应届毕业生”，是指</w:t>
      </w:r>
      <w:r>
        <w:rPr>
          <w:rFonts w:hint="eastAsia" w:ascii="仿宋_GB2312" w:hAnsi="仿宋_GB2312" w:cs="仿宋_GB2312"/>
          <w:color w:val="000000" w:themeColor="text1"/>
          <w:szCs w:val="32"/>
          <w14:textFill>
            <w14:solidFill>
              <w14:schemeClr w14:val="tx1"/>
            </w14:solidFill>
          </w14:textFill>
        </w:rPr>
        <w:t>全脱产在校学习</w:t>
      </w:r>
      <w:r>
        <w:rPr>
          <w:rFonts w:ascii="仿宋_GB2312" w:hAnsi="仿宋_GB2312" w:cs="仿宋_GB2312"/>
          <w:color w:val="000000" w:themeColor="text1"/>
          <w:szCs w:val="32"/>
          <w14:textFill>
            <w14:solidFill>
              <w14:schemeClr w14:val="tx1"/>
            </w14:solidFill>
          </w14:textFill>
        </w:rPr>
        <w:t>的国内普通高等学历教育学生和国（境）外留学</w:t>
      </w:r>
      <w:r>
        <w:rPr>
          <w:rFonts w:hint="eastAsia" w:ascii="仿宋_GB2312" w:hAnsi="仿宋_GB2312" w:cs="仿宋_GB2312"/>
          <w:color w:val="000000" w:themeColor="text1"/>
          <w:szCs w:val="32"/>
          <w14:textFill>
            <w14:solidFill>
              <w14:schemeClr w14:val="tx1"/>
            </w14:solidFill>
          </w14:textFill>
        </w:rPr>
        <w:t>回国</w:t>
      </w:r>
      <w:r>
        <w:rPr>
          <w:rFonts w:ascii="仿宋_GB2312" w:hAnsi="仿宋_GB2312" w:cs="仿宋_GB2312"/>
          <w:color w:val="000000" w:themeColor="text1"/>
          <w:szCs w:val="32"/>
          <w14:textFill>
            <w14:solidFill>
              <w14:schemeClr w14:val="tx1"/>
            </w14:solidFill>
          </w14:textFill>
        </w:rPr>
        <w:t>人员</w:t>
      </w:r>
      <w:r>
        <w:rPr>
          <w:rFonts w:hint="eastAsia" w:ascii="仿宋_GB2312" w:hAnsi="仿宋_GB2312" w:cs="仿宋_GB2312"/>
          <w:color w:val="000000" w:themeColor="text1"/>
          <w:szCs w:val="32"/>
          <w14:textFill>
            <w14:solidFill>
              <w14:schemeClr w14:val="tx1"/>
            </w14:solidFill>
          </w14:textFill>
        </w:rPr>
        <w:t>，</w:t>
      </w:r>
      <w:r>
        <w:rPr>
          <w:rFonts w:ascii="仿宋_GB2312" w:hAnsi="仿宋_GB2312" w:cs="仿宋_GB2312"/>
          <w:color w:val="000000" w:themeColor="text1"/>
          <w:szCs w:val="32"/>
          <w14:textFill>
            <w14:solidFill>
              <w14:schemeClr w14:val="tx1"/>
            </w14:solidFill>
          </w14:textFill>
        </w:rPr>
        <w:t>于202</w:t>
      </w:r>
      <w:r>
        <w:rPr>
          <w:rFonts w:hint="eastAsia" w:ascii="仿宋_GB2312" w:hAnsi="仿宋_GB2312" w:cs="仿宋_GB2312"/>
          <w:color w:val="000000" w:themeColor="text1"/>
          <w:szCs w:val="32"/>
          <w14:textFill>
            <w14:solidFill>
              <w14:schemeClr w14:val="tx1"/>
            </w14:solidFill>
          </w14:textFill>
        </w:rPr>
        <w:t>2</w:t>
      </w:r>
      <w:r>
        <w:rPr>
          <w:rFonts w:ascii="仿宋_GB2312" w:hAnsi="仿宋_GB2312" w:cs="仿宋_GB2312"/>
          <w:color w:val="000000" w:themeColor="text1"/>
          <w:szCs w:val="32"/>
          <w14:textFill>
            <w14:solidFill>
              <w14:schemeClr w14:val="tx1"/>
            </w14:solidFill>
          </w14:textFill>
        </w:rPr>
        <w:t>年7月31日前无法完成学业并取得学历（学位）证书的，不得应聘。</w:t>
      </w:r>
    </w:p>
    <w:p>
      <w:pPr>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Times New Roman" w:hAnsi="Times New Roman" w:eastAsia="楷体_GB2312" w:cs="Times New Roman"/>
          <w:b/>
          <w:bCs/>
          <w:color w:val="000000" w:themeColor="text1"/>
          <w:szCs w:val="32"/>
          <w14:textFill>
            <w14:solidFill>
              <w14:schemeClr w14:val="tx1"/>
            </w14:solidFill>
          </w14:textFill>
        </w:rPr>
        <w:t>3、</w:t>
      </w:r>
      <w:r>
        <w:rPr>
          <w:rFonts w:ascii="Times New Roman" w:hAnsi="Times New Roman" w:eastAsia="楷体_GB2312" w:cs="Times New Roman"/>
          <w:b/>
          <w:bCs/>
          <w:color w:val="000000" w:themeColor="text1"/>
          <w:szCs w:val="32"/>
          <w14:textFill>
            <w14:solidFill>
              <w14:schemeClr w14:val="tx1"/>
            </w14:solidFill>
          </w14:textFill>
        </w:rPr>
        <w:t>留学回国人员可以应聘哪些岗位，需提供哪些材料？</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留学回国人员可以根据自身情况应聘符合条件的岗位。</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留学回国人员应聘的，除需提供《简章》中规定的相关材料外，还要提供国家教育部门的学历学位认证</w:t>
      </w:r>
      <w:r>
        <w:rPr>
          <w:rFonts w:hint="eastAsia" w:ascii="仿宋_GB2312" w:hAnsi="仿宋_GB2312" w:cs="仿宋_GB2312"/>
          <w:color w:val="000000" w:themeColor="text1"/>
          <w:szCs w:val="32"/>
          <w14:textFill>
            <w14:solidFill>
              <w14:schemeClr w14:val="tx1"/>
            </w14:solidFill>
          </w14:textFill>
        </w:rPr>
        <w:t>材料</w:t>
      </w:r>
      <w:r>
        <w:rPr>
          <w:rFonts w:ascii="仿宋_GB2312" w:hAnsi="仿宋_GB2312" w:cs="仿宋_GB2312"/>
          <w:color w:val="000000" w:themeColor="text1"/>
          <w:szCs w:val="32"/>
          <w14:textFill>
            <w14:solidFill>
              <w14:schemeClr w14:val="tx1"/>
            </w14:solidFill>
          </w14:textFill>
        </w:rPr>
        <w:t>。应聘人员可登录教育部留学服务中心网站（http://www.cscse.edu.cn）查询认证的有关要求和程序。</w:t>
      </w:r>
    </w:p>
    <w:p>
      <w:pPr>
        <w:spacing w:line="560" w:lineRule="exact"/>
        <w:rPr>
          <w:b/>
          <w:color w:val="000000" w:themeColor="text1"/>
          <w:szCs w:val="32"/>
          <w14:textFill>
            <w14:solidFill>
              <w14:schemeClr w14:val="tx1"/>
            </w14:solidFill>
          </w14:textFill>
        </w:rPr>
      </w:pPr>
      <w:r>
        <w:rPr>
          <w:b/>
          <w:color w:val="000000" w:themeColor="text1"/>
          <w:szCs w:val="32"/>
          <w14:textFill>
            <w14:solidFill>
              <w14:schemeClr w14:val="tx1"/>
            </w14:solidFill>
          </w14:textFill>
        </w:rPr>
        <w:t xml:space="preserve">    </w:t>
      </w:r>
      <w:r>
        <w:rPr>
          <w:rFonts w:hint="eastAsia"/>
          <w:b/>
          <w:color w:val="000000" w:themeColor="text1"/>
          <w:szCs w:val="32"/>
          <w14:textFill>
            <w14:solidFill>
              <w14:schemeClr w14:val="tx1"/>
            </w14:solidFill>
          </w14:textFill>
        </w:rPr>
        <w:t>4</w:t>
      </w:r>
      <w:r>
        <w:rPr>
          <w:b/>
          <w:color w:val="000000" w:themeColor="text1"/>
          <w:szCs w:val="32"/>
          <w14:textFill>
            <w14:solidFill>
              <w14:schemeClr w14:val="tx1"/>
            </w14:solidFill>
          </w14:textFill>
        </w:rPr>
        <w:t>、“应届毕业生”如何界定？</w:t>
      </w:r>
    </w:p>
    <w:p>
      <w:pPr>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“应届毕业生”是指国内普通高等学校或承担研究生教育任务的科学研究机构中，国家统一招生且就读期间个人档案保管在毕业院校的202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年毕业生。</w:t>
      </w:r>
    </w:p>
    <w:p>
      <w:pPr>
        <w:spacing w:line="560" w:lineRule="exact"/>
        <w:ind w:firstLine="665"/>
        <w:rPr>
          <w:rFonts w:eastAsia="仿宋"/>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国家统一招生的普通高校毕业生离校时和在择业期内（国家规定择业期为二年）未落实过工作单位</w:t>
      </w:r>
      <w:r>
        <w:rPr>
          <w:rFonts w:hint="eastAsia" w:ascii="仿宋_GB2312"/>
          <w:color w:val="000000" w:themeColor="text1"/>
          <w:szCs w:val="32"/>
          <w14:textFill>
            <w14:solidFill>
              <w14:schemeClr w14:val="tx1"/>
            </w14:solidFill>
          </w14:textFill>
        </w:rPr>
        <w:t>（以缴纳社会保险为准）</w:t>
      </w:r>
      <w:r>
        <w:rPr>
          <w:rFonts w:ascii="仿宋_GB2312" w:hAnsi="仿宋_GB2312" w:cs="仿宋_GB2312"/>
          <w:color w:val="000000" w:themeColor="text1"/>
          <w:szCs w:val="32"/>
          <w14:textFill>
            <w14:solidFill>
              <w14:schemeClr w14:val="tx1"/>
            </w14:solidFill>
          </w14:textFill>
        </w:rPr>
        <w:t>，其档案仍保留在原毕业学校，或者保留在各级毕业生就业主管部门（毕业生就业指导服务中心）、各级人才交流服务机构和各级公共就业服务机构的毕业生，可按应届毕业生对待。</w:t>
      </w:r>
    </w:p>
    <w:p>
      <w:pPr>
        <w:snapToGrid w:val="0"/>
        <w:spacing w:line="600" w:lineRule="exact"/>
        <w:ind w:firstLine="612" w:firstLineChars="196"/>
        <w:rPr>
          <w:rFonts w:eastAsia="楷体_GB2312"/>
          <w:b/>
          <w:color w:val="000000" w:themeColor="text1"/>
          <w:szCs w:val="32"/>
          <w14:textFill>
            <w14:solidFill>
              <w14:schemeClr w14:val="tx1"/>
            </w14:solidFill>
          </w14:textFill>
        </w:rPr>
      </w:pPr>
      <w:r>
        <w:rPr>
          <w:rFonts w:eastAsia="楷体_GB2312"/>
          <w:b/>
          <w:color w:val="000000" w:themeColor="text1"/>
          <w:szCs w:val="32"/>
          <w14:textFill>
            <w14:solidFill>
              <w14:schemeClr w14:val="tx1"/>
            </w14:solidFill>
          </w14:textFill>
        </w:rPr>
        <w:t>5、对学历学位及相关证书取得时间有什么要求？</w:t>
      </w:r>
    </w:p>
    <w:p>
      <w:pPr>
        <w:snapToGrid w:val="0"/>
        <w:spacing w:line="58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年应届毕业生的学历、学位及相关证书，须在202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年7月31日前取得；其他人员应聘的，须在202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10</w:t>
      </w:r>
      <w:r>
        <w:rPr>
          <w:color w:val="000000" w:themeColor="text1"/>
          <w:szCs w:val="32"/>
          <w14:textFill>
            <w14:solidFill>
              <w14:schemeClr w14:val="tx1"/>
            </w14:solidFill>
          </w14:textFill>
        </w:rPr>
        <w:t>月</w:t>
      </w:r>
      <w:r>
        <w:rPr>
          <w:rFonts w:hint="eastAsia"/>
          <w:color w:val="000000" w:themeColor="text1"/>
          <w:szCs w:val="32"/>
          <w14:textFill>
            <w14:solidFill>
              <w14:schemeClr w14:val="tx1"/>
            </w14:solidFill>
          </w14:textFill>
        </w:rPr>
        <w:t>2</w:t>
      </w:r>
      <w:r>
        <w:rPr>
          <w:rFonts w:hint="eastAsia"/>
          <w:color w:val="000000" w:themeColor="text1"/>
          <w:szCs w:val="32"/>
          <w:lang w:val="en-US" w:eastAsia="zh-CN"/>
          <w14:textFill>
            <w14:solidFill>
              <w14:schemeClr w14:val="tx1"/>
            </w14:solidFill>
          </w14:textFill>
        </w:rPr>
        <w:t>7</w:t>
      </w:r>
      <w:r>
        <w:rPr>
          <w:color w:val="000000" w:themeColor="text1"/>
          <w:szCs w:val="32"/>
          <w14:textFill>
            <w14:solidFill>
              <w14:schemeClr w14:val="tx1"/>
            </w14:solidFill>
          </w14:textFill>
        </w:rPr>
        <w:t>日前取得国家承认的学历、学位及相关证书。</w:t>
      </w:r>
    </w:p>
    <w:p>
      <w:pPr>
        <w:spacing w:line="560" w:lineRule="exact"/>
        <w:ind w:firstLine="624" w:firstLineChars="200"/>
        <w:rPr>
          <w:rFonts w:eastAsia="仿宋"/>
          <w:strike/>
          <w:color w:val="000000" w:themeColor="text1"/>
          <w:szCs w:val="32"/>
          <w14:textFill>
            <w14:solidFill>
              <w14:schemeClr w14:val="tx1"/>
            </w14:solidFill>
          </w14:textFill>
        </w:rPr>
      </w:pPr>
      <w:r>
        <w:rPr>
          <w:rFonts w:eastAsia="楷体_GB2312"/>
          <w:b/>
          <w:color w:val="000000" w:themeColor="text1"/>
          <w:szCs w:val="32"/>
          <w14:textFill>
            <w14:solidFill>
              <w14:schemeClr w14:val="tx1"/>
            </w14:solidFill>
          </w14:textFill>
        </w:rPr>
        <w:t>6、</w:t>
      </w:r>
      <w:r>
        <w:rPr>
          <w:rFonts w:eastAsia="楷体_GB2312"/>
          <w:b/>
          <w:bCs/>
          <w:color w:val="000000" w:themeColor="text1"/>
          <w:szCs w:val="32"/>
          <w14:textFill>
            <w14:solidFill>
              <w14:schemeClr w14:val="tx1"/>
            </w14:solidFill>
          </w14:textFill>
        </w:rPr>
        <w:t>岗位汇总表中所要求的专业如何理解？</w:t>
      </w:r>
    </w:p>
    <w:p>
      <w:pPr>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24" w:firstLineChars="200"/>
        <w:rPr>
          <w:rFonts w:ascii="Times New Roman" w:hAnsi="Times New Roman" w:eastAsia="仿宋" w:cs="Times New Roman"/>
          <w:color w:val="000000" w:themeColor="text1"/>
          <w:szCs w:val="32"/>
          <w14:textFill>
            <w14:solidFill>
              <w14:schemeClr w14:val="tx1"/>
            </w14:solidFill>
          </w14:textFill>
        </w:rPr>
      </w:pPr>
      <w:r>
        <w:rPr>
          <w:rFonts w:hint="eastAsia" w:ascii="Calibri" w:hAnsi="Calibri" w:cs="Times New Roman"/>
          <w:color w:val="000000" w:themeColor="text1"/>
          <w:szCs w:val="32"/>
          <w14:textFill>
            <w14:solidFill>
              <w14:schemeClr w14:val="tx1"/>
            </w14:solidFill>
          </w14:textFill>
        </w:rPr>
        <w:t>招聘岗位</w:t>
      </w:r>
      <w:r>
        <w:rPr>
          <w:rStyle w:val="8"/>
          <w:rFonts w:hint="eastAsia" w:ascii="Times New Roman" w:hAnsi="Times New Roman" w:cs="Times New Roman"/>
          <w:color w:val="000000" w:themeColor="text1"/>
          <w:szCs w:val="32"/>
          <w14:textFill>
            <w14:solidFill>
              <w14:schemeClr w14:val="tx1"/>
            </w14:solidFill>
          </w14:textFill>
        </w:rPr>
        <w:t>在大学专科、大学本科、研究生3个教育层次分别明确了对报考者的专业要求，一般报考者符合一个教育层次的专业要求，即可报考该</w:t>
      </w:r>
      <w:r>
        <w:rPr>
          <w:rFonts w:hint="eastAsia" w:ascii="Calibri" w:hAnsi="Calibri" w:cs="Times New Roman"/>
          <w:b/>
          <w:color w:val="000000" w:themeColor="text1"/>
          <w:szCs w:val="32"/>
          <w14:textFill>
            <w14:solidFill>
              <w14:schemeClr w14:val="tx1"/>
            </w14:solidFill>
          </w14:textFill>
        </w:rPr>
        <w:t>岗位</w:t>
      </w:r>
      <w:r>
        <w:rPr>
          <w:rStyle w:val="8"/>
          <w:rFonts w:hint="eastAsia" w:ascii="Times New Roman" w:hAnsi="Times New Roman" w:cs="Times New Roman"/>
          <w:b w:val="0"/>
          <w:color w:val="000000" w:themeColor="text1"/>
          <w:szCs w:val="32"/>
          <w14:textFill>
            <w14:solidFill>
              <w14:schemeClr w14:val="tx1"/>
            </w14:solidFill>
          </w14:textFill>
        </w:rPr>
        <w:t>。</w:t>
      </w:r>
      <w:r>
        <w:rPr>
          <w:rFonts w:hint="eastAsia" w:ascii="Calibri" w:hAnsi="Calibri" w:cs="Times New Roman"/>
          <w:color w:val="000000" w:themeColor="text1"/>
          <w:szCs w:val="32"/>
          <w14:textFill>
            <w14:solidFill>
              <w14:schemeClr w14:val="tx1"/>
            </w14:solidFill>
          </w14:textFill>
        </w:rPr>
        <w:t>招聘岗位</w:t>
      </w:r>
      <w:r>
        <w:rPr>
          <w:rStyle w:val="8"/>
          <w:rFonts w:hint="eastAsia" w:ascii="Times New Roman" w:hAnsi="Times New Roman" w:cs="Times New Roman"/>
          <w:color w:val="000000" w:themeColor="text1"/>
          <w:szCs w:val="32"/>
          <w14:textFill>
            <w14:solidFill>
              <w14:schemeClr w14:val="tx1"/>
            </w14:solidFill>
          </w14:textFill>
        </w:rPr>
        <w:t>另有规定的，须从其规定。</w:t>
      </w:r>
      <w:r>
        <w:rPr>
          <w:rFonts w:hint="eastAsia" w:ascii="Times New Roman" w:hAnsi="Times New Roman" w:cs="Times New Roman"/>
          <w:color w:val="000000" w:themeColor="text1"/>
          <w:szCs w:val="32"/>
          <w14:textFill>
            <w14:solidFill>
              <w14:schemeClr w14:val="tx1"/>
            </w14:solidFill>
          </w14:textFill>
        </w:rPr>
        <w:t>其中，</w:t>
      </w:r>
      <w:r>
        <w:rPr>
          <w:rFonts w:hint="eastAsia" w:ascii="Calibri" w:hAnsi="Calibri" w:cs="Times New Roman"/>
          <w:color w:val="000000" w:themeColor="text1"/>
          <w:szCs w:val="32"/>
          <w14:textFill>
            <w14:solidFill>
              <w14:schemeClr w14:val="tx1"/>
            </w14:solidFill>
          </w14:textFill>
        </w:rPr>
        <w:t>岗位</w:t>
      </w:r>
      <w:r>
        <w:rPr>
          <w:rFonts w:hint="eastAsia" w:ascii="Times New Roman" w:hAnsi="Times New Roman" w:cs="Times New Roman"/>
          <w:color w:val="000000" w:themeColor="text1"/>
          <w:szCs w:val="32"/>
          <w14:textFill>
            <w14:solidFill>
              <w14:schemeClr w14:val="tx1"/>
            </w14:solidFill>
          </w14:textFill>
        </w:rPr>
        <w:t>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w:t>
      </w:r>
      <w:r>
        <w:rPr>
          <w:rFonts w:hint="eastAsia" w:ascii="Calibri" w:hAnsi="Calibri" w:cs="Times New Roman"/>
          <w:color w:val="000000" w:themeColor="text1"/>
          <w:szCs w:val="32"/>
          <w14:textFill>
            <w14:solidFill>
              <w14:schemeClr w14:val="tx1"/>
            </w14:solidFill>
          </w14:textFill>
        </w:rPr>
        <w:t>同期毕业的留学回国人员</w:t>
      </w:r>
      <w:r>
        <w:rPr>
          <w:rFonts w:ascii="Times New Roman" w:hAnsi="Times New Roman" w:eastAsia="仿宋" w:cs="Times New Roman"/>
          <w:color w:val="000000" w:themeColor="text1"/>
          <w:szCs w:val="32"/>
          <w14:textFill>
            <w14:solidFill>
              <w14:schemeClr w14:val="tx1"/>
            </w14:solidFill>
          </w14:textFill>
        </w:rPr>
        <w:t>，可依据于202</w:t>
      </w:r>
      <w:r>
        <w:rPr>
          <w:rFonts w:hint="eastAsia" w:ascii="Calibri" w:hAnsi="Calibri" w:eastAsia="仿宋" w:cs="Times New Roman"/>
          <w:color w:val="000000" w:themeColor="text1"/>
          <w:szCs w:val="32"/>
          <w14:textFill>
            <w14:solidFill>
              <w14:schemeClr w14:val="tx1"/>
            </w14:solidFill>
          </w14:textFill>
        </w:rPr>
        <w:t>2</w:t>
      </w:r>
      <w:r>
        <w:rPr>
          <w:rFonts w:ascii="Times New Roman" w:hAnsi="Times New Roman" w:eastAsia="仿宋" w:cs="Times New Roman"/>
          <w:color w:val="000000" w:themeColor="text1"/>
          <w:szCs w:val="32"/>
          <w14:textFill>
            <w14:solidFill>
              <w14:schemeClr w14:val="tx1"/>
            </w14:solidFill>
          </w14:textFill>
        </w:rPr>
        <w:t>年7月31日前取得的普通高等学历教育和国（境）外留学学历（学位）及相应专业应聘。</w:t>
      </w:r>
    </w:p>
    <w:p>
      <w:pPr>
        <w:spacing w:line="560" w:lineRule="exact"/>
        <w:ind w:firstLine="64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60" w:lineRule="exact"/>
        <w:ind w:firstLine="624" w:firstLineChars="200"/>
        <w:rPr>
          <w:rFonts w:ascii="Times New Roman" w:hAnsi="Times New Roman" w:eastAsia="楷体_GB2312" w:cs="Times New Roman"/>
          <w:b/>
          <w:bCs/>
          <w:color w:val="000000" w:themeColor="text1"/>
          <w:szCs w:val="32"/>
          <w14:textFill>
            <w14:solidFill>
              <w14:schemeClr w14:val="tx1"/>
            </w14:solidFill>
          </w14:textFill>
        </w:rPr>
      </w:pPr>
      <w:r>
        <w:rPr>
          <w:rFonts w:hint="eastAsia" w:ascii="Times New Roman" w:hAnsi="Times New Roman" w:eastAsia="楷体_GB2312" w:cs="Times New Roman"/>
          <w:b/>
          <w:bCs/>
          <w:color w:val="000000" w:themeColor="text1"/>
          <w:szCs w:val="32"/>
          <w14:textFill>
            <w14:solidFill>
              <w14:schemeClr w14:val="tx1"/>
            </w14:solidFill>
          </w14:textFill>
        </w:rPr>
        <w:t>7、</w:t>
      </w:r>
      <w:r>
        <w:rPr>
          <w:rFonts w:ascii="Times New Roman" w:hAnsi="Times New Roman" w:eastAsia="楷体_GB2312" w:cs="Times New Roman"/>
          <w:b/>
          <w:bCs/>
          <w:color w:val="000000" w:themeColor="text1"/>
          <w:szCs w:val="32"/>
          <w14:textFill>
            <w14:solidFill>
              <w14:schemeClr w14:val="tx1"/>
            </w14:solidFill>
          </w14:textFill>
        </w:rPr>
        <w:t xml:space="preserve"> 本次招聘中的有效身份证件指的是什么？</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12" w:firstLineChars="196"/>
        <w:rPr>
          <w:rFonts w:ascii="Calibri" w:hAnsi="Calibri" w:eastAsia="楷体_GB2312" w:cs="Times New Roman"/>
          <w:b/>
          <w:color w:val="000000" w:themeColor="text1"/>
          <w:szCs w:val="32"/>
          <w14:textFill>
            <w14:solidFill>
              <w14:schemeClr w14:val="tx1"/>
            </w14:solidFill>
          </w14:textFill>
        </w:rPr>
      </w:pPr>
      <w:r>
        <w:rPr>
          <w:rFonts w:hint="eastAsia" w:eastAsia="楷体_GB2312"/>
          <w:b/>
          <w:color w:val="000000" w:themeColor="text1"/>
          <w:szCs w:val="32"/>
          <w14:textFill>
            <w14:solidFill>
              <w14:schemeClr w14:val="tx1"/>
            </w14:solidFill>
          </w14:textFill>
        </w:rPr>
        <w:t>8、</w:t>
      </w:r>
      <w:r>
        <w:rPr>
          <w:rFonts w:ascii="Calibri" w:hAnsi="Calibri" w:eastAsia="楷体_GB2312" w:cs="Times New Roman"/>
          <w:b/>
          <w:color w:val="000000" w:themeColor="text1"/>
          <w:szCs w:val="32"/>
          <w14:textFill>
            <w14:solidFill>
              <w14:schemeClr w14:val="tx1"/>
            </w14:solidFill>
          </w14:textFill>
        </w:rPr>
        <w:t>网上填写报名信息时应注意什么？</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Times New Roman" w:hAnsi="Times New Roman" w:cs="Times New Roman"/>
          <w:color w:val="000000" w:themeColor="text1"/>
          <w:szCs w:val="32"/>
          <w14:textFill>
            <w14:solidFill>
              <w14:schemeClr w14:val="tx1"/>
            </w14:solidFill>
          </w14:textFill>
        </w:rPr>
        <w:t>参考往年情况，报名初始阶段人数较少，资格</w:t>
      </w:r>
      <w:r>
        <w:rPr>
          <w:rFonts w:hint="eastAsia" w:ascii="Calibri" w:hAnsi="Calibri" w:cs="Times New Roman"/>
          <w:color w:val="000000" w:themeColor="text1"/>
          <w:szCs w:val="32"/>
          <w14:textFill>
            <w14:solidFill>
              <w14:schemeClr w14:val="tx1"/>
            </w14:solidFill>
          </w14:textFill>
        </w:rPr>
        <w:t>审查</w:t>
      </w:r>
      <w:r>
        <w:rPr>
          <w:rFonts w:hint="eastAsia" w:ascii="Times New Roman" w:hAnsi="Times New Roman" w:cs="Times New Roman"/>
          <w:color w:val="000000" w:themeColor="text1"/>
          <w:szCs w:val="32"/>
          <w14:textFill>
            <w14:solidFill>
              <w14:schemeClr w14:val="tx1"/>
            </w14:solidFill>
          </w14:textFill>
        </w:rPr>
        <w:t>速度较快，报名最后阶段尤其是最后一天报名集中，届时资格</w:t>
      </w:r>
      <w:r>
        <w:rPr>
          <w:rFonts w:hint="eastAsia" w:ascii="Calibri" w:hAnsi="Calibri" w:cs="Times New Roman"/>
          <w:color w:val="000000" w:themeColor="text1"/>
          <w:szCs w:val="32"/>
          <w14:textFill>
            <w14:solidFill>
              <w14:schemeClr w14:val="tx1"/>
            </w14:solidFill>
          </w14:textFill>
        </w:rPr>
        <w:t>审查</w:t>
      </w:r>
      <w:r>
        <w:rPr>
          <w:rFonts w:hint="eastAsia" w:ascii="Times New Roman" w:hAnsi="Times New Roman" w:cs="Times New Roman"/>
          <w:color w:val="000000" w:themeColor="text1"/>
          <w:szCs w:val="32"/>
          <w14:textFill>
            <w14:solidFill>
              <w14:schemeClr w14:val="tx1"/>
            </w14:solidFill>
          </w14:textFill>
        </w:rPr>
        <w:t>速度将有所下降。建议</w:t>
      </w:r>
      <w:r>
        <w:rPr>
          <w:rFonts w:hint="eastAsia" w:ascii="Calibri" w:hAnsi="Calibri" w:cs="Times New Roman"/>
          <w:color w:val="000000" w:themeColor="text1"/>
          <w:szCs w:val="32"/>
          <w14:textFill>
            <w14:solidFill>
              <w14:schemeClr w14:val="tx1"/>
            </w14:solidFill>
          </w14:textFill>
        </w:rPr>
        <w:t>应聘人员</w:t>
      </w:r>
      <w:r>
        <w:rPr>
          <w:rFonts w:hint="eastAsia" w:ascii="Times New Roman" w:hAnsi="Times New Roman" w:cs="Times New Roman"/>
          <w:color w:val="000000" w:themeColor="text1"/>
          <w:szCs w:val="32"/>
          <w14:textFill>
            <w14:solidFill>
              <w14:schemeClr w14:val="tx1"/>
            </w14:solidFill>
          </w14:textFill>
        </w:rPr>
        <w:t>合理安排报名时间，根据本人的专业、意愿和职业规划等尽早报名，尽量在网速较快的环境报名，尽量避免后期集中报名，以免错失报名机会。</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9、应聘人员在网上提供的照片有什么要求？</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应聘人员在网上报名时提供的照片，必须是1寸近期正面免冠证件照片，并且与进入面试后资格审查时所提供的照片同一底版。</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10、对招聘岗位资格条件有疑问的如何咨询？</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对招聘岗位资格条件和其他内容有疑问的，请与招聘单位直接联系（招聘单位咨询电话详见《岗位汇总表》）。</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11、应聘人员是否可以改报其他岗位？</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应聘人员在招聘单位资格初审前可更改报考岗位。</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没有通过招聘单位资格审查的应聘人员，在报名时间截止前可改报其他单位或该单位的其他岗位，但系统自动禁止该应聘人员再次报考曾被拒绝的岗位。</w:t>
      </w:r>
    </w:p>
    <w:p>
      <w:pPr>
        <w:pStyle w:val="76"/>
        <w:spacing w:line="560" w:lineRule="exact"/>
        <w:ind w:firstLine="624"/>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通过招聘单位资格审查的应聘人员，系统自动禁止该应聘人员改报其他岗位。</w:t>
      </w:r>
    </w:p>
    <w:p>
      <w:pPr>
        <w:pStyle w:val="75"/>
        <w:spacing w:line="600" w:lineRule="exact"/>
        <w:ind w:firstLine="624"/>
        <w:rPr>
          <w:rFonts w:ascii="Times New Roman" w:eastAsia="楷体_GB2312"/>
          <w:b/>
          <w:color w:val="000000" w:themeColor="text1"/>
          <w:sz w:val="32"/>
          <w:szCs w:val="32"/>
          <w14:textFill>
            <w14:solidFill>
              <w14:schemeClr w14:val="tx1"/>
            </w14:solidFill>
          </w14:textFill>
        </w:rPr>
      </w:pPr>
      <w:r>
        <w:rPr>
          <w:rFonts w:ascii="Times New Roman" w:eastAsia="楷体_GB2312"/>
          <w:b/>
          <w:color w:val="000000" w:themeColor="text1"/>
          <w:sz w:val="32"/>
          <w:szCs w:val="32"/>
          <w14:textFill>
            <w14:solidFill>
              <w14:schemeClr w14:val="tx1"/>
            </w14:solidFill>
          </w14:textFill>
        </w:rPr>
        <w:t>1</w:t>
      </w:r>
      <w:r>
        <w:rPr>
          <w:rFonts w:hint="eastAsia" w:ascii="Times New Roman" w:eastAsia="楷体_GB2312"/>
          <w:b/>
          <w:color w:val="000000" w:themeColor="text1"/>
          <w:sz w:val="32"/>
          <w:szCs w:val="32"/>
          <w14:textFill>
            <w14:solidFill>
              <w14:schemeClr w14:val="tx1"/>
            </w14:solidFill>
          </w14:textFill>
        </w:rPr>
        <w:t>2</w:t>
      </w:r>
      <w:r>
        <w:rPr>
          <w:rFonts w:ascii="Times New Roman" w:eastAsia="楷体_GB2312"/>
          <w:b/>
          <w:color w:val="000000" w:themeColor="text1"/>
          <w:sz w:val="32"/>
          <w:szCs w:val="32"/>
          <w14:textFill>
            <w14:solidFill>
              <w14:schemeClr w14:val="tx1"/>
            </w14:solidFill>
          </w14:textFill>
        </w:rPr>
        <w:t>、进入面试范围的应聘人员需向招聘单位提交哪些证明材料？</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进入面试范围的应聘人员，需在规定的时间，按招聘岗位要求，向招聘单位提交近期1寸同底版正面免冠证件照片3张（须与网上报名的照片同一底版）和相关材料（原件及复印件，复印件由审核单位留存）。相关材料主要有：</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2022年聊城市疾病预防控制中心公开招聘初级岗位工作人员</w:t>
      </w:r>
      <w:r>
        <w:rPr>
          <w:color w:val="000000" w:themeColor="text1"/>
          <w:szCs w:val="32"/>
          <w14:textFill>
            <w14:solidFill>
              <w14:schemeClr w14:val="tx1"/>
            </w14:solidFill>
          </w14:textFill>
        </w:rPr>
        <w:t>报名登记表》；</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（2）《应聘人员诚信承诺书》；</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（3）笔试准考证；</w:t>
      </w:r>
    </w:p>
    <w:p>
      <w:pPr>
        <w:spacing w:line="580" w:lineRule="exact"/>
        <w:ind w:firstLine="624" w:firstLineChars="200"/>
        <w:rPr>
          <w:color w:val="000000" w:themeColor="text1"/>
          <w:kern w:val="0"/>
          <w:szCs w:val="32"/>
          <w14:textFill>
            <w14:solidFill>
              <w14:schemeClr w14:val="tx1"/>
            </w14:solidFill>
          </w14:textFill>
        </w:rPr>
      </w:pPr>
      <w:r>
        <w:rPr>
          <w:color w:val="000000" w:themeColor="text1"/>
          <w:szCs w:val="32"/>
          <w14:textFill>
            <w14:solidFill>
              <w14:schemeClr w14:val="tx1"/>
            </w14:solidFill>
          </w14:textFill>
        </w:rPr>
        <w:t>（4）</w:t>
      </w:r>
      <w:r>
        <w:rPr>
          <w:color w:val="000000" w:themeColor="text1"/>
          <w:kern w:val="0"/>
          <w:szCs w:val="32"/>
          <w14:textFill>
            <w14:solidFill>
              <w14:schemeClr w14:val="tx1"/>
            </w14:solidFill>
          </w14:textFill>
        </w:rPr>
        <w:t>应届毕业生应聘的，提交身份证、学校核发的就业推荐表。</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（5）其他应聘人员，提交国家承认的学历学位及相关证书（须在202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10</w:t>
      </w:r>
      <w:r>
        <w:rPr>
          <w:color w:val="000000" w:themeColor="text1"/>
          <w:szCs w:val="32"/>
          <w14:textFill>
            <w14:solidFill>
              <w14:schemeClr w14:val="tx1"/>
            </w14:solidFill>
          </w14:textFill>
        </w:rPr>
        <w:t>月</w:t>
      </w:r>
      <w:r>
        <w:rPr>
          <w:rFonts w:hint="eastAsia"/>
          <w:color w:val="000000" w:themeColor="text1"/>
          <w:szCs w:val="32"/>
          <w14:textFill>
            <w14:solidFill>
              <w14:schemeClr w14:val="tx1"/>
            </w14:solidFill>
          </w14:textFill>
        </w:rPr>
        <w:t>2</w:t>
      </w:r>
      <w:r>
        <w:rPr>
          <w:rFonts w:hint="eastAsia"/>
          <w:color w:val="000000" w:themeColor="text1"/>
          <w:szCs w:val="32"/>
          <w:lang w:val="en-US" w:eastAsia="zh-CN"/>
          <w14:textFill>
            <w14:solidFill>
              <w14:schemeClr w14:val="tx1"/>
            </w14:solidFill>
          </w14:textFill>
        </w:rPr>
        <w:t>7</w:t>
      </w:r>
      <w:r>
        <w:rPr>
          <w:color w:val="000000" w:themeColor="text1"/>
          <w:szCs w:val="32"/>
          <w14:textFill>
            <w14:solidFill>
              <w14:schemeClr w14:val="tx1"/>
            </w14:solidFill>
          </w14:textFill>
        </w:rPr>
        <w:t>日前取得）、身份证等；</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 xml:space="preserve">（6）在职人员应聘的，提交有用人管理权限部门或单位出具的同意应聘介绍信； </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（7）有工作经历要求的，还需提交有用人管理权限部门或单位出具的工作经历证明；</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留学回国人员应聘的，除需提供《简章》中规定的相关材料外，还要出具国家教育部门的学历学位认证。应聘人员可登录教育部留学服务中心网站（http://www.cscse.edu.cn）查询认证的有关要求和程序。学历学位认证材料，在面试前与其他材料一并交招聘单位审核。</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（9）香港和澳门居民中的中国公民应聘的，还需提供《港澳居民来往内地通行证》。</w:t>
      </w:r>
    </w:p>
    <w:p>
      <w:pPr>
        <w:snapToGrid w:val="0"/>
        <w:spacing w:line="600" w:lineRule="exact"/>
        <w:ind w:firstLine="62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（10）招聘岗位条件要求的其他证明材料。</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13、享受减免有关考务费用的考生、残疾人需提供哪些证明材料？</w:t>
      </w:r>
    </w:p>
    <w:p>
      <w:pPr>
        <w:adjustRightInd w:val="0"/>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Times New Roman" w:hAnsi="Times New Roman" w:cs="Times New Roman"/>
          <w:color w:val="000000" w:themeColor="text1"/>
          <w:szCs w:val="32"/>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残疾人应提交残疾人证。</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14、报考人员提交报名信息2小时后，登录网站发现报名信息仍为“未审核”状态是什么原因？</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另一个原因是：报考人员较多，审核人员不能在短时间内审查完进入“审核”状态的全部报名信息，这种情况请考生耐心等待。</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15、如果银行端支付成功，查询报名网址缴费状态仍然是“未缴费”怎么办？</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考生网上缴费时，可能会出现银行扣费成功、但报名系统缴费状态仍显示“未缴费”的极个别情况。这是网络通讯迟滞原因造成的，一般在第二天缴费状态都会显示“已缴费”。如果第二日缴费状态仍为“未缴费”，考生可立即联系聊城市疾病预防控制中心（电话0635-8535869）。</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16、违纪违规及存在不诚信情形的应聘人员如何处理？</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76"/>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14:textFill>
            <w14:solidFill>
              <w14:schemeClr w14:val="tx1"/>
            </w14:solidFill>
          </w14:textFill>
        </w:rPr>
        <w:t>17、 应聘人员还需注意哪些问题？</w:t>
      </w:r>
    </w:p>
    <w:p>
      <w:pPr>
        <w:snapToGrid w:val="0"/>
        <w:spacing w:line="560" w:lineRule="exact"/>
        <w:ind w:firstLine="624" w:firstLineChars="200"/>
        <w:rPr>
          <w:rFonts w:hint="eastAsia"/>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w:t>
      </w:r>
      <w:bookmarkStart w:id="0" w:name="_GoBack"/>
      <w:bookmarkEnd w:id="0"/>
      <w:r>
        <w:rPr>
          <w:rFonts w:hint="eastAsia" w:ascii="仿宋_GB2312" w:hAnsi="仿宋_GB2312" w:cs="仿宋_GB2312"/>
          <w:color w:val="000000" w:themeColor="text1"/>
          <w:szCs w:val="32"/>
          <w14:textFill>
            <w14:solidFill>
              <w14:schemeClr w14:val="tx1"/>
            </w14:solidFill>
          </w14:textFill>
        </w:rPr>
        <w:t>查、面试、考察体检及聘用。</w:t>
      </w:r>
    </w:p>
    <w:sectPr>
      <w:footerReference r:id="rId3" w:type="default"/>
      <w:footerReference r:id="rId4" w:type="even"/>
      <w:pgSz w:w="11906" w:h="16838"/>
      <w:pgMar w:top="2098" w:right="1588" w:bottom="1588" w:left="1588" w:header="851" w:footer="992" w:gutter="0"/>
      <w:pgNumType w:fmt="numberInDash" w:start="13"/>
      <w:cols w:space="425" w:num="1"/>
      <w:docGrid w:type="linesAndChars" w:linePitch="59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19 -</w:t>
    </w:r>
    <w:r>
      <w:rPr>
        <w:rFonts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56"/>
  <w:drawingGridVerticalSpacing w:val="5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wYjIyYmY0NGU0ZTU4Y2IxMTM1OGQ4NDllYjQ4ZTYifQ=="/>
  </w:docVars>
  <w:rsids>
    <w:rsidRoot w:val="00900F22"/>
    <w:rsid w:val="00017749"/>
    <w:rsid w:val="00024FC1"/>
    <w:rsid w:val="00027B47"/>
    <w:rsid w:val="00035D04"/>
    <w:rsid w:val="00035F2C"/>
    <w:rsid w:val="00050F6C"/>
    <w:rsid w:val="000621B9"/>
    <w:rsid w:val="00074AE9"/>
    <w:rsid w:val="000942FD"/>
    <w:rsid w:val="0009727D"/>
    <w:rsid w:val="000B6F33"/>
    <w:rsid w:val="000C03A5"/>
    <w:rsid w:val="000E564B"/>
    <w:rsid w:val="000E5BAA"/>
    <w:rsid w:val="00103AA8"/>
    <w:rsid w:val="00116A65"/>
    <w:rsid w:val="00152D65"/>
    <w:rsid w:val="0017631D"/>
    <w:rsid w:val="0019353E"/>
    <w:rsid w:val="00195F00"/>
    <w:rsid w:val="001C34CF"/>
    <w:rsid w:val="001E13D8"/>
    <w:rsid w:val="001F09DC"/>
    <w:rsid w:val="001F5792"/>
    <w:rsid w:val="00204877"/>
    <w:rsid w:val="002077A9"/>
    <w:rsid w:val="0023651A"/>
    <w:rsid w:val="00247D08"/>
    <w:rsid w:val="00253394"/>
    <w:rsid w:val="00266E4D"/>
    <w:rsid w:val="0026742B"/>
    <w:rsid w:val="00272EAD"/>
    <w:rsid w:val="0027617A"/>
    <w:rsid w:val="002815D8"/>
    <w:rsid w:val="002A6E38"/>
    <w:rsid w:val="002A7308"/>
    <w:rsid w:val="002B19BC"/>
    <w:rsid w:val="002C08B2"/>
    <w:rsid w:val="002E36D3"/>
    <w:rsid w:val="002E5300"/>
    <w:rsid w:val="002E7C1C"/>
    <w:rsid w:val="00320328"/>
    <w:rsid w:val="00327C4B"/>
    <w:rsid w:val="003304B0"/>
    <w:rsid w:val="00335FA5"/>
    <w:rsid w:val="00372E00"/>
    <w:rsid w:val="003A25EF"/>
    <w:rsid w:val="003D3A8B"/>
    <w:rsid w:val="003F1A87"/>
    <w:rsid w:val="004021A1"/>
    <w:rsid w:val="00444C44"/>
    <w:rsid w:val="00445FD1"/>
    <w:rsid w:val="004B683C"/>
    <w:rsid w:val="004D44CA"/>
    <w:rsid w:val="004F0DB9"/>
    <w:rsid w:val="0052385C"/>
    <w:rsid w:val="005329AC"/>
    <w:rsid w:val="00547E9D"/>
    <w:rsid w:val="00566DD7"/>
    <w:rsid w:val="005776AC"/>
    <w:rsid w:val="0058014F"/>
    <w:rsid w:val="005A608D"/>
    <w:rsid w:val="005B07C8"/>
    <w:rsid w:val="005D5A94"/>
    <w:rsid w:val="005E2403"/>
    <w:rsid w:val="0060657E"/>
    <w:rsid w:val="00611AFA"/>
    <w:rsid w:val="00617A45"/>
    <w:rsid w:val="00624D6F"/>
    <w:rsid w:val="006554EE"/>
    <w:rsid w:val="006825E7"/>
    <w:rsid w:val="00693FA3"/>
    <w:rsid w:val="006A0516"/>
    <w:rsid w:val="006B157E"/>
    <w:rsid w:val="006D4115"/>
    <w:rsid w:val="00700C3A"/>
    <w:rsid w:val="007151EA"/>
    <w:rsid w:val="00716074"/>
    <w:rsid w:val="0073201B"/>
    <w:rsid w:val="00736AC2"/>
    <w:rsid w:val="007477C2"/>
    <w:rsid w:val="00774006"/>
    <w:rsid w:val="007936CE"/>
    <w:rsid w:val="007B4776"/>
    <w:rsid w:val="007C2A86"/>
    <w:rsid w:val="007D3921"/>
    <w:rsid w:val="007D636F"/>
    <w:rsid w:val="007E2106"/>
    <w:rsid w:val="00812DBA"/>
    <w:rsid w:val="008230BA"/>
    <w:rsid w:val="0085406F"/>
    <w:rsid w:val="0086337A"/>
    <w:rsid w:val="008A27FA"/>
    <w:rsid w:val="008C2B8E"/>
    <w:rsid w:val="008D05D1"/>
    <w:rsid w:val="008E7765"/>
    <w:rsid w:val="00900F22"/>
    <w:rsid w:val="00901F5A"/>
    <w:rsid w:val="00907A3A"/>
    <w:rsid w:val="00911C4F"/>
    <w:rsid w:val="00971AAF"/>
    <w:rsid w:val="009A2FCB"/>
    <w:rsid w:val="009C3253"/>
    <w:rsid w:val="009F3ED8"/>
    <w:rsid w:val="00A37A5A"/>
    <w:rsid w:val="00A46B46"/>
    <w:rsid w:val="00A50D50"/>
    <w:rsid w:val="00A52389"/>
    <w:rsid w:val="00A55505"/>
    <w:rsid w:val="00A75409"/>
    <w:rsid w:val="00A873C6"/>
    <w:rsid w:val="00AB1A90"/>
    <w:rsid w:val="00AD4123"/>
    <w:rsid w:val="00AE6CF8"/>
    <w:rsid w:val="00B02D17"/>
    <w:rsid w:val="00B070B5"/>
    <w:rsid w:val="00B76459"/>
    <w:rsid w:val="00B905AC"/>
    <w:rsid w:val="00B97E5E"/>
    <w:rsid w:val="00BC1A89"/>
    <w:rsid w:val="00BD16E5"/>
    <w:rsid w:val="00BE6912"/>
    <w:rsid w:val="00C41505"/>
    <w:rsid w:val="00C86235"/>
    <w:rsid w:val="00CC2FBB"/>
    <w:rsid w:val="00CE3A7B"/>
    <w:rsid w:val="00CE6021"/>
    <w:rsid w:val="00CE6B0C"/>
    <w:rsid w:val="00CE795B"/>
    <w:rsid w:val="00CF7F8F"/>
    <w:rsid w:val="00D12887"/>
    <w:rsid w:val="00D263A8"/>
    <w:rsid w:val="00D27302"/>
    <w:rsid w:val="00D4405A"/>
    <w:rsid w:val="00D539CE"/>
    <w:rsid w:val="00D703D3"/>
    <w:rsid w:val="00D738EB"/>
    <w:rsid w:val="00D8089C"/>
    <w:rsid w:val="00D96F9B"/>
    <w:rsid w:val="00DA3BB5"/>
    <w:rsid w:val="00DA4A0E"/>
    <w:rsid w:val="00DA5598"/>
    <w:rsid w:val="00DB3752"/>
    <w:rsid w:val="00DC3D36"/>
    <w:rsid w:val="00DC6293"/>
    <w:rsid w:val="00DD0F8A"/>
    <w:rsid w:val="00DE15A1"/>
    <w:rsid w:val="00E5510D"/>
    <w:rsid w:val="00E6203E"/>
    <w:rsid w:val="00E63623"/>
    <w:rsid w:val="00E82618"/>
    <w:rsid w:val="00F36E80"/>
    <w:rsid w:val="00F445A5"/>
    <w:rsid w:val="00F727FD"/>
    <w:rsid w:val="00F800F9"/>
    <w:rsid w:val="00FD67F5"/>
    <w:rsid w:val="00FE4A61"/>
    <w:rsid w:val="157F0D29"/>
    <w:rsid w:val="184228AC"/>
    <w:rsid w:val="2EB71C3C"/>
    <w:rsid w:val="326C7D9C"/>
    <w:rsid w:val="403236B2"/>
    <w:rsid w:val="40B06A5A"/>
    <w:rsid w:val="5E99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semiHidden/>
    <w:unhideWhenUsed/>
    <w:qFormat/>
    <w:uiPriority w:val="99"/>
    <w:rPr>
      <w:color w:val="954F72"/>
      <w:u w:val="single"/>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日期 Char"/>
    <w:basedOn w:val="7"/>
    <w:link w:val="2"/>
    <w:semiHidden/>
    <w:qFormat/>
    <w:uiPriority w:val="99"/>
  </w:style>
  <w:style w:type="paragraph" w:customStyle="1" w:styleId="12">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character" w:customStyle="1" w:styleId="13">
    <w:name w:val="页眉 Char"/>
    <w:basedOn w:val="7"/>
    <w:link w:val="5"/>
    <w:qFormat/>
    <w:uiPriority w:val="99"/>
    <w:rPr>
      <w:sz w:val="18"/>
      <w:szCs w:val="18"/>
    </w:rPr>
  </w:style>
  <w:style w:type="character" w:customStyle="1" w:styleId="14">
    <w:name w:val="页脚 Char"/>
    <w:basedOn w:val="7"/>
    <w:link w:val="4"/>
    <w:uiPriority w:val="99"/>
    <w:rPr>
      <w:sz w:val="18"/>
      <w:szCs w:val="18"/>
    </w:rPr>
  </w:style>
  <w:style w:type="character" w:customStyle="1" w:styleId="15">
    <w:name w:val="批注框文本 Char"/>
    <w:basedOn w:val="7"/>
    <w:link w:val="3"/>
    <w:semiHidden/>
    <w:uiPriority w:val="99"/>
    <w:rPr>
      <w:sz w:val="18"/>
      <w:szCs w:val="18"/>
    </w:rPr>
  </w:style>
  <w:style w:type="paragraph" w:styleId="16">
    <w:name w:val="List Paragraph"/>
    <w:basedOn w:val="1"/>
    <w:qFormat/>
    <w:uiPriority w:val="34"/>
    <w:pPr>
      <w:ind w:firstLine="420" w:firstLineChars="200"/>
    </w:pPr>
  </w:style>
  <w:style w:type="paragraph" w:customStyle="1" w:styleId="1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font10"/>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6">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8">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9">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0">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1">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2">
    <w:name w:val="font1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3">
    <w:name w:val="xl6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4">
    <w:name w:val="xl6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6">
    <w:name w:val="xl7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4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
    <w:name w:val="xl8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59">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60">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2">
    <w:name w:val="xl9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3">
    <w:name w:val="xl93"/>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4">
    <w:name w:val="xl9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5">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8">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9">
    <w:name w:val="xl99"/>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0"/>
      <w:szCs w:val="40"/>
    </w:rPr>
  </w:style>
  <w:style w:type="paragraph" w:customStyle="1" w:styleId="70">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1">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2">
    <w:name w:val="xl102"/>
    <w:basedOn w:val="1"/>
    <w:qFormat/>
    <w:uiPriority w:val="0"/>
    <w:pPr>
      <w:widowControl/>
      <w:spacing w:before="100" w:beforeAutospacing="1" w:after="100" w:afterAutospacing="1"/>
      <w:jc w:val="center"/>
    </w:pPr>
    <w:rPr>
      <w:rFonts w:ascii="仿宋" w:hAnsi="仿宋" w:eastAsia="仿宋" w:cs="宋体"/>
      <w:kern w:val="0"/>
      <w:szCs w:val="32"/>
    </w:rPr>
  </w:style>
  <w:style w:type="paragraph" w:customStyle="1" w:styleId="73">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4">
    <w:name w:val="正文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75">
    <w:name w:val="纯文本1"/>
    <w:basedOn w:val="1"/>
    <w:qFormat/>
    <w:uiPriority w:val="0"/>
    <w:pPr>
      <w:autoSpaceDE w:val="0"/>
      <w:autoSpaceDN w:val="0"/>
      <w:adjustRightInd w:val="0"/>
    </w:pPr>
    <w:rPr>
      <w:rFonts w:ascii="宋体" w:hAnsi="Times New Roman" w:cs="Times New Roman"/>
      <w:sz w:val="20"/>
      <w:szCs w:val="20"/>
    </w:rPr>
  </w:style>
  <w:style w:type="paragraph" w:customStyle="1" w:styleId="76">
    <w:name w:val="纯文本2"/>
    <w:basedOn w:val="1"/>
    <w:uiPriority w:val="0"/>
    <w:pPr>
      <w:autoSpaceDE w:val="0"/>
      <w:autoSpaceDN w:val="0"/>
      <w:adjustRightInd w:val="0"/>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E3904-336B-42B9-B2DB-553BB2523D1E}">
  <ds:schemaRefs/>
</ds:datastoreItem>
</file>

<file path=docProps/app.xml><?xml version="1.0" encoding="utf-8"?>
<Properties xmlns="http://schemas.openxmlformats.org/officeDocument/2006/extended-properties" xmlns:vt="http://schemas.openxmlformats.org/officeDocument/2006/docPropsVTypes">
  <Template>Normal</Template>
  <Pages>8</Pages>
  <Words>624</Words>
  <Characters>3558</Characters>
  <Lines>29</Lines>
  <Paragraphs>8</Paragraphs>
  <TotalTime>4</TotalTime>
  <ScaleCrop>false</ScaleCrop>
  <LinksUpToDate>false</LinksUpToDate>
  <CharactersWithSpaces>4174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2022-10-08T07:07:00Z</dcterms:created>
  <dc:creator>xb21cn</dc:creator>
  <cp:lastModifiedBy>九磅十五便士</cp:lastModifiedBy>
  <cp:lastPrinted>2022-10-08T07:05:00Z</cp:lastPrinted>
  <dcterms:modified xsi:type="dcterms:W3CDTF">2022-10-18T02:48:38Z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2844D76F2EA747C1A68E21FDC5077943</vt:lpwstr>
  </property>
</Properties>
</file>