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急需紧缺专业目录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6"/>
          <w:szCs w:val="36"/>
          <w:highlight w:val="none"/>
        </w:rPr>
        <w:t>研究生（一级学科）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4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计算机科学与技术、土木工程、电子科学与技术、信息与通信工程、水利工程、公共卫生与预防医学、建筑学、安全科学与工程、动力工程及工程热物理、测绘科学与技术、农业工程、交通运输工程、材料科学与工程、冶金工程、电气工程、石油与天然气工程、矿业工程、控制科学与工程、轻工技术与工程、水产、城乡规划学、化学工程与技术、机械工程、软件工程、核科学与技术、生物医学工程、统计学、航空宇航科学与技术、理论经济学、应用经济学、海洋科学、船舶与海洋工程、环境科学与工程、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地质学、地质资源与地质工程、化学，旅游管理（二级学科）。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4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含以上专业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的专业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学位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本科（</w:t>
      </w: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  <w:lang w:eastAsia="zh-CN"/>
        </w:rPr>
        <w:t>专业类</w:t>
      </w: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6"/>
          <w:szCs w:val="36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计算机类、土木类、电子信息类、水利类、公共卫生与预防医学类、建筑类、安全科学与工程类、财政学类、能源动力类、测绘类、农业工程类、交通运输类、材料类、电气类、矿业类、自动化类、轻工类、水产类、地理科学类、化工与制药类、机械类、旅游管理类、核工程类、生物医学工程类、统计学类、航空航天类、经济学类、经济与贸易类、海洋科学类、海洋工程类、环境科学与工程类、金融学类、自然保护与环境生态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、地质学类、地质类、化学类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2UyZmI5ZTIzMDdkNjcyMWQwZGFiMmJhMDRmY2IifQ=="/>
  </w:docVars>
  <w:rsids>
    <w:rsidRoot w:val="00000000"/>
    <w:rsid w:val="287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ind w:left="175"/>
      <w:jc w:val="left"/>
    </w:pPr>
    <w:rPr>
      <w:rFonts w:ascii="仿宋_GB2312" w:cs="仿宋_GB2312"/>
      <w:kern w:val="0"/>
      <w:sz w:val="39"/>
      <w:szCs w:val="39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2023-03-17T01:18:20Z</dcterms:created>
  <dc:creator>麟月</dc:creator>
  <cp:lastModifiedBy>人空瘦，海棠落琼眸</cp:lastModifiedBy>
  <dcterms:modified xsi:type="dcterms:W3CDTF">2023-03-17T01:18:45Z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88E168F14C914633825FD65C12CB8BEE</vt:lpwstr>
  </property>
</Properties>
</file>