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25A7"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附件1</w:t>
      </w:r>
    </w:p>
    <w:p w14:paraId="67AC1A8A">
      <w:pPr>
        <w:snapToGrid w:val="0"/>
        <w:spacing w:after="624" w:afterLines="200" w:line="600" w:lineRule="exact"/>
        <w:ind w:right="318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2024年济南新旧动能转换起步区专职网格员和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调解员公开招聘计划表</w:t>
      </w:r>
    </w:p>
    <w:tbl>
      <w:tblPr>
        <w:tblStyle w:val="6"/>
        <w:tblW w:w="1403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515"/>
        <w:gridCol w:w="1136"/>
        <w:gridCol w:w="2104"/>
        <w:gridCol w:w="1950"/>
        <w:gridCol w:w="2158"/>
        <w:gridCol w:w="2316"/>
        <w:gridCol w:w="2243"/>
      </w:tblGrid>
      <w:tr w14:paraId="436D1524">
        <w:trPr>
          <w:trHeight w:val="373" w:hRule="atLeast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68E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556D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招考岗位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01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招考计划</w:t>
            </w:r>
          </w:p>
        </w:tc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D37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招考条件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2A6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工作地点</w:t>
            </w:r>
          </w:p>
        </w:tc>
      </w:tr>
      <w:tr w14:paraId="22D8C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81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F53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704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0CB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E5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7F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82D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户籍要求</w:t>
            </w: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97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 w14:paraId="1B757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C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7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大桥街道</w:t>
            </w:r>
          </w:p>
          <w:p w14:paraId="161F51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专职网格员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13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F3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年龄在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周岁以下（198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日以后出生）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none"/>
                <w:lang w:eastAsia="zh-CN"/>
              </w:rPr>
              <w:t>；有济南起步区直管区专职网格员工作经历的，年龄可适当放宽。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FA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大学专科及以上学历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；有济南起步区直管区专职网格员工作经历的，学历可适当放宽。</w:t>
            </w: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2B7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32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具有济南市户籍（以户口簿为准，须在2024年10月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日以前取得）或济南市常住居民（截至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2024年10月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none"/>
              </w:rPr>
              <w:t>日，在济南市连续居住满6个月以上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A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济南起步区直管区域内的大桥街道、崔寨街道、孙耿街道、太平街道的村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居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2149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0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1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崔寨街道</w:t>
            </w:r>
          </w:p>
          <w:p w14:paraId="61EF2B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专职网格员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984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985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DC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13D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7F0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84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7AB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3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B0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孙耿街道</w:t>
            </w:r>
          </w:p>
          <w:p w14:paraId="4924F8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专职网格员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7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BD6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D0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E5C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D2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A4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046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4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F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太平街道</w:t>
            </w:r>
          </w:p>
          <w:p w14:paraId="318B5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专职网格员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E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9E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C8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98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B7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56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A9E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6A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B7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招考岗位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1CE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招考计划</w:t>
            </w:r>
          </w:p>
        </w:tc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6CC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招考条件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83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工作地点</w:t>
            </w:r>
          </w:p>
        </w:tc>
      </w:tr>
      <w:tr w14:paraId="77A0D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EB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77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00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5F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73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FE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50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户籍要求</w:t>
            </w: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CD3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065BB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A9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E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区级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调解员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BBB2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57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年龄在35周岁以下（1988年10月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日以后出生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64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具有本科及以上学历学位</w:t>
            </w: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2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法学类、政治学类、社会学类、马克思主义理论类、公安学类、教育学类、心理学类、计算机类、电子信息类、经济学类、金融学类、管理科学与工程类、工商管理类、公共管理类、新闻传播学类、汉语言文学专业；研究生报考的，不限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本科须为所列专业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。通过国家统一法律职业资格考试者或有调解工作经验者优先考虑。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4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7F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济南起步区管委会</w:t>
            </w:r>
          </w:p>
        </w:tc>
      </w:tr>
      <w:tr w14:paraId="7057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895E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6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大桥街道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调解员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2AD7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0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6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C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E0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A2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济南起步区直管区域内的大桥街道、崔寨街道、孙耿街道、太平街道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720E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86C53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B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崔寨街道</w:t>
            </w:r>
          </w:p>
          <w:p w14:paraId="11EE8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调解员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6BE3E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759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3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A80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A5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B8A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76453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A45A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36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孙耿街道</w:t>
            </w:r>
          </w:p>
          <w:p w14:paraId="3A5E8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调解员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59F1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78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E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7D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18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0C3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0878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24D2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8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太平街道</w:t>
            </w:r>
          </w:p>
          <w:p w14:paraId="54F3A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调解员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DBE6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0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E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7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F1F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8C8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 w14:paraId="19B32BB6">
      <w:pPr>
        <w:snapToGrid w:val="0"/>
        <w:rPr>
          <w:rFonts w:ascii="仿宋_GB2312" w:hAnsi="仿宋" w:eastAsia="仿宋_GB2312" w:cs="仿宋"/>
          <w:sz w:val="30"/>
          <w:szCs w:val="30"/>
        </w:rPr>
      </w:pPr>
    </w:p>
    <w:sectPr>
      <w:footerReference r:id="rId3" w:type="default"/>
      <w:pgSz w:w="16838" w:h="11906" w:orient="landscape"/>
      <w:pgMar w:top="1588" w:right="1588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6FF4F9-B38E-48C0-B3DB-2B3A31316F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6663BB-5844-4D5F-9646-17690ABF99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55236C-4752-4F32-86C3-F71DAFA4C1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7A1B80E-81D5-4C82-B000-B25C5270BD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6073C">
    <w:pPr>
      <w:pStyle w:val="14"/>
      <w:framePr w:wrap="around" w:vAnchor="text" w:hAnchor="margin" w:xAlign="center" w:y="1"/>
      <w:tabs>
        <w:tab w:val="clear" w:pos="4153"/>
        <w:tab w:val="clear" w:pos="8306"/>
      </w:tabs>
      <w:rPr>
        <w:rStyle w:val="20"/>
        <w:rFonts w:ascii="宋体" w:hAnsi="宋体" w:eastAsia="宋体"/>
        <w:sz w:val="28"/>
        <w:szCs w:val="28"/>
      </w:rPr>
    </w:pPr>
  </w:p>
  <w:p w14:paraId="0642182A">
    <w:pPr>
      <w:pStyle w:val="1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YzNhMzNlYTY1NjhiMjM5YmE1OGI5OTUxYzE1ZmEifQ=="/>
  </w:docVars>
  <w:rsids>
    <w:rsidRoot w:val="00000000"/>
    <w:rsid w:val="02414DD4"/>
    <w:rsid w:val="02FA082F"/>
    <w:rsid w:val="0FC14EF8"/>
    <w:rsid w:val="10775E71"/>
    <w:rsid w:val="10F02C4E"/>
    <w:rsid w:val="132C5427"/>
    <w:rsid w:val="14A02BEE"/>
    <w:rsid w:val="1B416017"/>
    <w:rsid w:val="1B7F7DEE"/>
    <w:rsid w:val="1BDF20BF"/>
    <w:rsid w:val="1DC30C57"/>
    <w:rsid w:val="241D7BEB"/>
    <w:rsid w:val="2749579D"/>
    <w:rsid w:val="32762527"/>
    <w:rsid w:val="33D9335D"/>
    <w:rsid w:val="37B2686A"/>
    <w:rsid w:val="3FA255B3"/>
    <w:rsid w:val="485E316C"/>
    <w:rsid w:val="52357B4B"/>
    <w:rsid w:val="5354676C"/>
    <w:rsid w:val="582B2039"/>
    <w:rsid w:val="5A501A10"/>
    <w:rsid w:val="5A7616BE"/>
    <w:rsid w:val="65CA3AA1"/>
    <w:rsid w:val="67610CEF"/>
    <w:rsid w:val="6B181425"/>
    <w:rsid w:val="6C133210"/>
    <w:rsid w:val="70BA25FA"/>
    <w:rsid w:val="75190896"/>
    <w:rsid w:val="7948279C"/>
    <w:rsid w:val="79652BD2"/>
    <w:rsid w:val="799C4845"/>
    <w:rsid w:val="7D485454"/>
    <w:rsid w:val="7DD5283D"/>
    <w:rsid w:val="7FC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BodyText"/>
    <w:basedOn w:val="1"/>
    <w:qFormat/>
    <w:uiPriority w:val="0"/>
    <w:pPr>
      <w:spacing w:line="560" w:lineRule="exact"/>
    </w:pPr>
    <w:rPr>
      <w:rFonts w:ascii="Times New Roman" w:hAnsi="Times New Roman" w:eastAsia="宋体"/>
    </w:rPr>
  </w:style>
  <w:style w:type="paragraph" w:customStyle="1" w:styleId="13">
    <w:name w:val="文档结构图1"/>
    <w:basedOn w:val="1"/>
    <w:qFormat/>
    <w:uiPriority w:val="0"/>
    <w:pPr>
      <w:shd w:val="clear" w:color="auto" w:fill="000080"/>
    </w:p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10"/>
    <w:link w:val="15"/>
    <w:qFormat/>
    <w:uiPriority w:val="0"/>
    <w:rPr>
      <w:kern w:val="2"/>
      <w:sz w:val="18"/>
      <w:szCs w:val="18"/>
    </w:rPr>
  </w:style>
  <w:style w:type="paragraph" w:customStyle="1" w:styleId="17">
    <w:name w:val="目录 11"/>
    <w:basedOn w:val="1"/>
    <w:qFormat/>
    <w:uiPriority w:val="0"/>
    <w:pPr>
      <w:tabs>
        <w:tab w:val="right" w:leader="dot" w:pos="8302"/>
      </w:tabs>
      <w:jc w:val="center"/>
    </w:pPr>
    <w:rPr>
      <w:rFonts w:eastAsia="黑体"/>
      <w:bCs/>
      <w:caps/>
      <w:sz w:val="20"/>
      <w:szCs w:val="20"/>
    </w:rPr>
  </w:style>
  <w:style w:type="paragraph" w:customStyle="1" w:styleId="18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19">
    <w:name w:val="网格型1"/>
    <w:basedOn w:val="11"/>
    <w:qFormat/>
    <w:uiPriority w:val="0"/>
  </w:style>
  <w:style w:type="character" w:customStyle="1" w:styleId="20">
    <w:name w:val="页码1"/>
    <w:basedOn w:val="10"/>
    <w:qFormat/>
    <w:uiPriority w:val="0"/>
  </w:style>
  <w:style w:type="paragraph" w:customStyle="1" w:styleId="21">
    <w:name w:val="样式2"/>
    <w:basedOn w:val="1"/>
    <w:qFormat/>
    <w:uiPriority w:val="0"/>
    <w:pPr>
      <w:spacing w:before="120" w:after="120" w:line="480" w:lineRule="auto"/>
      <w:ind w:left="113" w:right="113"/>
    </w:pPr>
    <w:rPr>
      <w:rFonts w:ascii="仿宋_GB2312" w:eastAsia="仿宋_GB2312"/>
      <w:sz w:val="28"/>
      <w:szCs w:val="28"/>
    </w:rPr>
  </w:style>
  <w:style w:type="character" w:customStyle="1" w:styleId="22">
    <w:name w:val="页眉 Char1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3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632</Characters>
  <Paragraphs>71</Paragraphs>
  <TotalTime>7</TotalTime>
  <ScaleCrop>false</ScaleCrop>
  <LinksUpToDate>false</LinksUpToDate>
  <CharactersWithSpaces>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2023-08-08T10:22:00Z</dcterms:created>
  <dc:creator>ALEBB</dc:creator>
  <cp:lastModifiedBy>知足</cp:lastModifiedBy>
  <cp:lastPrinted>2023-08-04T18:57:00Z</cp:lastPrinted>
  <dcterms:modified xsi:type="dcterms:W3CDTF">2024-10-23T00:29:04Z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B99FA9202FB541558217B0239EC06807_13</vt:lpwstr>
  </property>
</Properties>
</file>